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38.03.06 Торговое дело (высшее образование - бакалавриат), Направленность (профиль) программы «Организация и управление закупочной деятельностью»,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Системы управления базами данных</w:t>
            </w:r>
          </w:p>
          <w:p>
            <w:pPr>
              <w:jc w:val="center"/>
              <w:spacing w:after="0" w:line="240" w:lineRule="auto"/>
              <w:rPr>
                <w:sz w:val="32"/>
                <w:szCs w:val="32"/>
              </w:rPr>
            </w:pPr>
            <w:r>
              <w:rPr>
                <w:rFonts w:ascii="Times New Roman" w:hAnsi="Times New Roman" w:cs="Times New Roman"/>
                <w:color w:val="#000000"/>
                <w:sz w:val="32"/>
                <w:szCs w:val="32"/>
              </w:rPr>
              <w:t> К.М.02.02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38.03.06 Торговое дело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«Организация и управление закупочной деятельностью»</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ЭКСПЕРТ В СФЕРЕ ЗАКУПОК</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расчетно-экономический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158.0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/Алексеев Н.Е./</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38.03.06 Торговое дело, утвержденного Приказом Министерства образования и науки РФ от 12.08.2020 г. № 963 «Об утверждении федерального государственного образовательного стандарта высшего образования - бакалавриат по направлению подготовки 38.03.06 Торговое дело»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38.03.06 Торговое дело направленность (профиль) программы: «Организация и управление закупочной деятельностью»; форма обучения – очно-заочная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«Системы управления базами данных»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38.03.06 Торговое дело; очно-заочная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К.М.02.02 «Системы управления базами данных».</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38.03.06 Торговое дело, утвержденного Приказом Министерства образования и науки РФ от 12.08.2020 г. № 963 «Об утверждении федерального государственного образовательного стандарта высшего образования - бакалавриат по направлению подготовки 38.03.06 Торговое дело»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«Системы управления базами данных»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процедуру закупок</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регламенты работы электронных торговых площадок</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уметь организовывать и контролировать разработку проектов контрактов, типовых условий контрактов заказчика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ПК-2.8 владеть навыками обеспечения привлечения на основе контракта специализированной организации для выполнения отдельных функций по определению поставщика</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ПК-2.11 владеть навыками составления и публичного размещения отчета об объеме закупок у субъектов малого предпринимательства и социально ориентированных некоммерческих организаций</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УК-10</w:t>
            </w:r>
          </w:p>
          <w:p>
            <w:pPr>
              <w:jc w:val="left"/>
              <w:spacing w:after="0" w:line="240" w:lineRule="auto"/>
              <w:rPr>
                <w:sz w:val="24"/>
                <w:szCs w:val="24"/>
              </w:rPr>
            </w:pPr>
            <w:r>
              <w:rPr>
                <w:rFonts w:ascii="Times New Roman" w:hAnsi="Times New Roman" w:cs="Times New Roman"/>
                <w:b/>
                <w:color w:val="#000000"/>
                <w:sz w:val="24"/>
                <w:szCs w:val="24"/>
              </w:rPr>
              <w:t> Способен принимать обоснованные экономические решения в различных областях жизнедеятельности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УК-10.1 знать основные законы и закономерности функционирования экономики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УК-10.2 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УК-10.3 уметь применять экономические знания при выполнении практических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УК-10.4 уметь принимать обоснованные экономические решения в различных областях жизнедеятельности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УК-10.5 владеть способностью использования основных положений и методов экономических наук при решении социальных и профессиональных задач</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УК-10.6 владеть навыками применения экономических инструментов</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711.77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К.М.02.02 «Системы управления базами данных» относится к обязательной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826.14"/>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части, является дисциплиной Блока Б1. «Дисциплины (модули)». Модуль "Организация процедуры закупки" основной профессиональной образовательной программы высшего образования - бакалавриат по направлению подготовки 38.03.06 Торговое дело.</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Статистика</w:t>
            </w:r>
          </w:p>
          <w:p>
            <w:pPr>
              <w:jc w:val="center"/>
              <w:spacing w:after="0" w:line="240" w:lineRule="auto"/>
              <w:rPr>
                <w:sz w:val="22"/>
                <w:szCs w:val="22"/>
              </w:rPr>
            </w:pPr>
            <w:r>
              <w:rPr>
                <w:rFonts w:ascii="Times New Roman" w:hAnsi="Times New Roman" w:cs="Times New Roman"/>
                <w:color w:val="#000000"/>
                <w:sz w:val="22"/>
                <w:szCs w:val="22"/>
              </w:rPr>
              <w:t> Информационно-аналитические технологии в закупочной деятельности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Организация электронных торгов (практикум)</w:t>
            </w:r>
          </w:p>
          <w:p>
            <w:pPr>
              <w:jc w:val="center"/>
              <w:spacing w:after="0" w:line="240" w:lineRule="auto"/>
              <w:rPr>
                <w:sz w:val="22"/>
                <w:szCs w:val="22"/>
              </w:rPr>
            </w:pPr>
            <w:r>
              <w:rPr>
                <w:rFonts w:ascii="Times New Roman" w:hAnsi="Times New Roman" w:cs="Times New Roman"/>
                <w:color w:val="#000000"/>
                <w:sz w:val="22"/>
                <w:szCs w:val="22"/>
              </w:rPr>
              <w:t> Управление государственными закупками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 УК-10</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6</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и функции систем управления базами данных (СУБД). Архитектура СУБД.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Класификация СУБД. Обзор современных СУБД.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Microsoft Access – основные свойства. Состав главного меню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объекты. Методы создания объектов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Создание и редактирование структуры таблиц</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связей между таблицами. Схема данных. Обеспечение целостности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запросов.  Конструктор запросов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5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3895.6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70.05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и функции систем управления базами данных (СУБД). Архитектура СУБД.</w:t>
            </w:r>
          </w:p>
        </w:tc>
      </w:tr>
      <w:tr>
        <w:trPr>
          <w:trHeight w:hRule="exact" w:val="287.8262"/>
        </w:trPr>
        <w:tc>
          <w:tcPr>
            <w:tcW w:w="9654" w:type="dxa"/>
            <w:tcBorders>
</w:tcBorders>
            <w:vMerge/>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Файловые системы. Структуры файлов. Авторизация доступа к файлам.</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Класификация СУБД. Обзор современных СУБД.</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Общее понятие модели данных и обзор семи известных моделей данных: иерерахической, сетевой, инвертированных списков, реляционной, объектно-ориентированной, SQL- ориентированной и истинно реляционной.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Microsoft Access – основные свойства. Состав главного меню</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Типы данных. Средства определения, изменения определения и отмены определения доменов.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объекты. Методы создания объектов</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Функциональные зависимости. Замыкание множества функциональных зависимостей.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Создание и редактирование структуры таблиц</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Минимальные функциональные зависимости и вторая нормальная форма.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связей между таблицами. Схема данных.  Обеспечение целостности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требований к операционной обстановке. Выбор системы управления базами данных и других инструментальных программных средств.</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запросов.  Конструктор запросов</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Транзакция как механизм обеспечения непротиворечивости данных. Свойства транзакций. Взаимовлияние транзакций. Уровни изоляции.</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Синхронизация много-пользовательского доступа. Области разумного применения файлов.</w:t>
            </w:r>
          </w:p>
        </w:tc>
      </w:tr>
      <w:tr>
        <w:trPr>
          <w:trHeight w:hRule="exact" w:val="14.7"/>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Самостоятельная работа. Подготовка эссе.</w:t>
            </w:r>
          </w:p>
        </w:tc>
      </w:tr>
      <w:tr>
        <w:trPr>
          <w:trHeight w:hRule="exact" w:val="14.6991"/>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Неявные преобразования типов в SQL. Явные преобразования типов или доменов и оператор CAST.</w:t>
            </w:r>
          </w:p>
        </w:tc>
      </w:tr>
      <w:tr>
        <w:trPr>
          <w:trHeight w:hRule="exact" w:val="14.7"/>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Аксиомы Армстронга. Замыкание множества атрибутов.</w:t>
            </w:r>
          </w:p>
        </w:tc>
      </w:tr>
      <w:tr>
        <w:trPr>
          <w:trHeight w:hRule="exact" w:val="14.6991"/>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Нетранзитивные функциональные зависимости и третья нормальная форма. Независимые проекции отношений. Теорема Риссанена.</w:t>
            </w:r>
          </w:p>
        </w:tc>
      </w:tr>
      <w:tr>
        <w:trPr>
          <w:trHeight w:hRule="exact" w:val="14.7"/>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Логическое проектирование БД.</w:t>
            </w:r>
          </w:p>
        </w:tc>
      </w:tr>
      <w:tr>
        <w:trPr>
          <w:trHeight w:hRule="exact" w:val="14.6991"/>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Уровни блокировок. Блокировка как средство разграничения доступа.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«Системы управления базами данных» / Алексеев Н.Е..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60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Базы</w:t>
            </w:r>
            <w:r>
              <w:rPr/>
              <w:t xml:space="preserve"> </w:t>
            </w:r>
            <w:r>
              <w:rPr>
                <w:rFonts w:ascii="Times New Roman" w:hAnsi="Times New Roman" w:cs="Times New Roman"/>
                <w:color w:val="#000000"/>
                <w:sz w:val="24"/>
                <w:szCs w:val="24"/>
              </w:rPr>
              <w:t>данных:</w:t>
            </w:r>
            <w:r>
              <w:rPr/>
              <w:t xml:space="preserve"> </w:t>
            </w:r>
            <w:r>
              <w:rPr>
                <w:rFonts w:ascii="Times New Roman" w:hAnsi="Times New Roman" w:cs="Times New Roman"/>
                <w:color w:val="#000000"/>
                <w:sz w:val="24"/>
                <w:szCs w:val="24"/>
              </w:rPr>
              <w:t>проектирование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Стружкин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Годин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978-5-534-00229-4.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https://urait.ru/bcode/450165</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использования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проектирования</w:t>
            </w:r>
            <w:r>
              <w:rPr/>
              <w:t xml:space="preserve"> </w:t>
            </w:r>
            <w:r>
              <w:rPr>
                <w:rFonts w:ascii="Times New Roman" w:hAnsi="Times New Roman" w:cs="Times New Roman"/>
                <w:color w:val="#000000"/>
                <w:sz w:val="24"/>
                <w:szCs w:val="24"/>
              </w:rPr>
              <w:t>баз</w:t>
            </w:r>
            <w:r>
              <w:rPr/>
              <w:t xml:space="preserve"> </w:t>
            </w:r>
            <w:r>
              <w:rPr>
                <w:rFonts w:ascii="Times New Roman" w:hAnsi="Times New Roman" w:cs="Times New Roman"/>
                <w:color w:val="#000000"/>
                <w:sz w:val="24"/>
                <w:szCs w:val="24"/>
              </w:rPr>
              <w:t>данных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Илюшечкин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978-5-534-03617-6.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https://urait.ru/bcode/449679</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Базы</w:t>
            </w:r>
            <w:r>
              <w:rPr/>
              <w:t xml:space="preserve"> </w:t>
            </w:r>
            <w:r>
              <w:rPr>
                <w:rFonts w:ascii="Times New Roman" w:hAnsi="Times New Roman" w:cs="Times New Roman"/>
                <w:color w:val="#000000"/>
                <w:sz w:val="24"/>
                <w:szCs w:val="24"/>
              </w:rPr>
              <w:t>данных:</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доступа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Стасышин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Стасышина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978-5-534-08687-4.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https://urait.ru/bcode/463499</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Базы</w:t>
            </w:r>
            <w:r>
              <w:rPr/>
              <w:t xml:space="preserve"> </w:t>
            </w:r>
            <w:r>
              <w:rPr>
                <w:rFonts w:ascii="Times New Roman" w:hAnsi="Times New Roman" w:cs="Times New Roman"/>
                <w:color w:val="#000000"/>
                <w:sz w:val="24"/>
                <w:szCs w:val="24"/>
              </w:rPr>
              <w:t>данных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Нестеров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978-5-534-00874-6.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https://urait.ru/bcode/450772</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732.51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923.8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91.5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308.7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998.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2023-2024_ФГОС3++2023_Бак-ОЗФО-ТД(ОиУЗД)(23)_plx_Системы управления базами данных</dc:title>
  <dc:creator>FastReport.NET</dc:creator>
</cp:coreProperties>
</file>